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E8" w:rsidRPr="00AD2BC1" w:rsidRDefault="00671DE8" w:rsidP="000965B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Forte"/>
          <w:color w:val="000000"/>
          <w:bdr w:val="none" w:sz="0" w:space="0" w:color="auto" w:frame="1"/>
        </w:rPr>
      </w:pPr>
      <w:r>
        <w:rPr>
          <w:rStyle w:val="Forte"/>
          <w:rFonts w:ascii="Calibri" w:hAnsi="Calibri" w:cs="Arial"/>
          <w:color w:val="000000"/>
          <w:bdr w:val="none" w:sz="0" w:space="0" w:color="auto" w:frame="1"/>
        </w:rPr>
        <w:tab/>
      </w:r>
      <w:r>
        <w:rPr>
          <w:rStyle w:val="Forte"/>
          <w:rFonts w:ascii="Calibri" w:hAnsi="Calibri" w:cs="Arial"/>
          <w:color w:val="000000"/>
          <w:bdr w:val="none" w:sz="0" w:space="0" w:color="auto" w:frame="1"/>
        </w:rPr>
        <w:tab/>
      </w:r>
      <w:r>
        <w:rPr>
          <w:rStyle w:val="Forte"/>
          <w:rFonts w:ascii="Calibri" w:hAnsi="Calibri" w:cs="Arial"/>
          <w:color w:val="000000"/>
          <w:bdr w:val="none" w:sz="0" w:space="0" w:color="auto" w:frame="1"/>
        </w:rPr>
        <w:tab/>
      </w:r>
      <w:r>
        <w:rPr>
          <w:rStyle w:val="Forte"/>
          <w:rFonts w:ascii="Calibri" w:hAnsi="Calibri" w:cs="Arial"/>
          <w:color w:val="000000"/>
          <w:bdr w:val="none" w:sz="0" w:space="0" w:color="auto" w:frame="1"/>
        </w:rPr>
        <w:tab/>
      </w:r>
      <w:r w:rsidRPr="00AD2BC1">
        <w:rPr>
          <w:rStyle w:val="Forte"/>
          <w:color w:val="000000"/>
          <w:bdr w:val="none" w:sz="0" w:space="0" w:color="auto" w:frame="1"/>
        </w:rPr>
        <w:t>Termo de Referência</w:t>
      </w:r>
      <w:r w:rsidRPr="00AD2BC1">
        <w:rPr>
          <w:rStyle w:val="Forte"/>
          <w:color w:val="000000"/>
          <w:bdr w:val="none" w:sz="0" w:space="0" w:color="auto" w:frame="1"/>
        </w:rPr>
        <w:tab/>
      </w:r>
      <w:r w:rsidRPr="00AD2BC1">
        <w:rPr>
          <w:rStyle w:val="Forte"/>
          <w:color w:val="000000"/>
          <w:bdr w:val="none" w:sz="0" w:space="0" w:color="auto" w:frame="1"/>
        </w:rPr>
        <w:tab/>
      </w:r>
      <w:r w:rsidRPr="00AD2BC1">
        <w:rPr>
          <w:rStyle w:val="Forte"/>
          <w:color w:val="000000"/>
          <w:bdr w:val="none" w:sz="0" w:space="0" w:color="auto" w:frame="1"/>
        </w:rPr>
        <w:tab/>
      </w:r>
      <w:r w:rsidRPr="00AD2BC1">
        <w:rPr>
          <w:rStyle w:val="Forte"/>
          <w:color w:val="000000"/>
          <w:bdr w:val="none" w:sz="0" w:space="0" w:color="auto" w:frame="1"/>
        </w:rPr>
        <w:tab/>
        <w:t>Nº 107</w:t>
      </w:r>
    </w:p>
    <w:p w:rsidR="002E1369" w:rsidRPr="00AD2BC1" w:rsidRDefault="002E1369" w:rsidP="000965B8"/>
    <w:p w:rsidR="00B57261" w:rsidRPr="00AD2BC1" w:rsidRDefault="00B57261" w:rsidP="000965B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D2BC1">
        <w:rPr>
          <w:rStyle w:val="Forte"/>
          <w:color w:val="000000"/>
          <w:bdr w:val="none" w:sz="0" w:space="0" w:color="auto" w:frame="1"/>
        </w:rPr>
        <w:t> </w:t>
      </w:r>
    </w:p>
    <w:p w:rsidR="00B57261" w:rsidRDefault="00B57261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color w:val="000000"/>
          <w:bdr w:val="none" w:sz="0" w:space="0" w:color="auto" w:frame="1"/>
        </w:rPr>
      </w:pPr>
      <w:r w:rsidRPr="00AD2BC1">
        <w:rPr>
          <w:rStyle w:val="Forte"/>
          <w:color w:val="000000"/>
          <w:bdr w:val="none" w:sz="0" w:space="0" w:color="auto" w:frame="1"/>
        </w:rPr>
        <w:t>Contratação</w:t>
      </w:r>
      <w:r w:rsidR="00C44293" w:rsidRPr="00AD2BC1">
        <w:rPr>
          <w:rStyle w:val="Forte"/>
          <w:color w:val="000000"/>
          <w:bdr w:val="none" w:sz="0" w:space="0" w:color="auto" w:frame="1"/>
        </w:rPr>
        <w:t xml:space="preserve"> de </w:t>
      </w:r>
      <w:r w:rsidR="00671DE8" w:rsidRPr="00AD2BC1">
        <w:rPr>
          <w:rStyle w:val="Forte"/>
          <w:color w:val="000000"/>
          <w:bdr w:val="none" w:sz="0" w:space="0" w:color="auto" w:frame="1"/>
        </w:rPr>
        <w:t xml:space="preserve">empresa para prestação de </w:t>
      </w:r>
      <w:r w:rsidR="00C44293" w:rsidRPr="00AD2BC1">
        <w:rPr>
          <w:rStyle w:val="Forte"/>
          <w:color w:val="000000"/>
          <w:bdr w:val="none" w:sz="0" w:space="0" w:color="auto" w:frame="1"/>
        </w:rPr>
        <w:t xml:space="preserve">serviço de </w:t>
      </w:r>
      <w:r w:rsidR="00671DE8" w:rsidRPr="00AD2BC1">
        <w:rPr>
          <w:rStyle w:val="Forte"/>
          <w:color w:val="000000"/>
          <w:bdr w:val="none" w:sz="0" w:space="0" w:color="auto" w:frame="1"/>
        </w:rPr>
        <w:t>transporte de pessoas em ônibus</w:t>
      </w:r>
      <w:r w:rsidR="00AD2BC1">
        <w:rPr>
          <w:rStyle w:val="Forte"/>
          <w:color w:val="000000"/>
          <w:bdr w:val="none" w:sz="0" w:space="0" w:color="auto" w:frame="1"/>
        </w:rPr>
        <w:t>.</w:t>
      </w:r>
      <w:bookmarkStart w:id="0" w:name="_GoBack"/>
      <w:bookmarkEnd w:id="0"/>
      <w:r w:rsidR="00AC0E4A" w:rsidRPr="00AD2BC1">
        <w:rPr>
          <w:rStyle w:val="Forte"/>
          <w:color w:val="000000"/>
          <w:bdr w:val="none" w:sz="0" w:space="0" w:color="auto" w:frame="1"/>
        </w:rPr>
        <w:t xml:space="preserve"> </w:t>
      </w:r>
    </w:p>
    <w:p w:rsidR="00AD2BC1" w:rsidRPr="00AD2BC1" w:rsidRDefault="00AD2BC1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B57261" w:rsidRPr="00AD2BC1" w:rsidRDefault="00462FC0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color w:val="000000"/>
          <w:bdr w:val="none" w:sz="0" w:space="0" w:color="auto" w:frame="1"/>
        </w:rPr>
      </w:pPr>
      <w:r w:rsidRPr="00AD2BC1">
        <w:tab/>
      </w:r>
      <w:r w:rsidR="00B57261" w:rsidRPr="00AD2BC1">
        <w:t xml:space="preserve">O </w:t>
      </w:r>
      <w:r w:rsidR="00B57261" w:rsidRPr="00AD2BC1">
        <w:rPr>
          <w:b/>
        </w:rPr>
        <w:t>INSTITUTO DE CIDADANIA RAÍZES</w:t>
      </w:r>
      <w:r w:rsidR="00B57261" w:rsidRPr="00AD2BC1">
        <w:t xml:space="preserve">, CNPJ nº 04.079.198/0001-00, visando à contratação de pessoal para </w:t>
      </w:r>
      <w:r w:rsidR="00B57261" w:rsidRPr="00AD2BC1">
        <w:rPr>
          <w:color w:val="000000"/>
        </w:rPr>
        <w:t xml:space="preserve">a execução das ações e serviços </w:t>
      </w:r>
      <w:r w:rsidR="00B57261" w:rsidRPr="00AD2BC1">
        <w:rPr>
          <w:b/>
          <w:color w:val="000000"/>
        </w:rPr>
        <w:t>PROGRAMA BARUERI ESPORTE FORTE</w:t>
      </w:r>
      <w:r w:rsidR="00B83F1F" w:rsidRPr="00AD2BC1">
        <w:rPr>
          <w:b/>
          <w:color w:val="000000"/>
        </w:rPr>
        <w:t xml:space="preserve"> </w:t>
      </w:r>
      <w:r w:rsidR="00B83F1F" w:rsidRPr="00AD2BC1">
        <w:t>CNPJ nº 04.079.198/0007-97</w:t>
      </w:r>
      <w:r w:rsidR="00B57261" w:rsidRPr="00AD2BC1">
        <w:rPr>
          <w:color w:val="000000"/>
        </w:rPr>
        <w:t xml:space="preserve">, </w:t>
      </w:r>
      <w:r w:rsidR="00B57261" w:rsidRPr="00AD2BC1">
        <w:t>conforme descrito no Contrato de Gestão Número 537/2019, celebrado entre o Município de Barueri e o Instituto de Cidadania Raízes,</w:t>
      </w:r>
      <w:proofErr w:type="gramStart"/>
      <w:r w:rsidR="00B57261" w:rsidRPr="00AD2BC1">
        <w:t xml:space="preserve">  </w:t>
      </w:r>
      <w:proofErr w:type="gramEnd"/>
      <w:r w:rsidR="00B57261" w:rsidRPr="00AD2BC1">
        <w:rPr>
          <w:color w:val="000000"/>
        </w:rPr>
        <w:t>vem por meio deste, convidar fornecedores a apresentar proposta para </w:t>
      </w:r>
      <w:r w:rsidR="00671DE8" w:rsidRPr="00AD2BC1">
        <w:rPr>
          <w:color w:val="000000"/>
        </w:rPr>
        <w:t>prestação de serviço</w:t>
      </w:r>
      <w:r w:rsidR="003B7296" w:rsidRPr="00AD2BC1">
        <w:rPr>
          <w:color w:val="000000"/>
        </w:rPr>
        <w:t xml:space="preserve"> de </w:t>
      </w:r>
      <w:r w:rsidR="00AC0E4A" w:rsidRPr="00AD2BC1">
        <w:rPr>
          <w:color w:val="000000"/>
        </w:rPr>
        <w:t xml:space="preserve">transporte de pessoas em ônibus, no período de outubro a dezembro de 2020. </w:t>
      </w:r>
    </w:p>
    <w:p w:rsidR="00B57261" w:rsidRPr="00AD2BC1" w:rsidRDefault="00B57261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B57261" w:rsidRPr="00AD2BC1" w:rsidRDefault="00462FC0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D2BC1">
        <w:rPr>
          <w:color w:val="000000"/>
        </w:rPr>
        <w:tab/>
      </w:r>
      <w:r w:rsidR="00B57261" w:rsidRPr="00AD2BC1">
        <w:rPr>
          <w:color w:val="000000"/>
        </w:rPr>
        <w:t>Os interessados deverão encaminhar propostas com timbre da empresa, endereço, telefone, pessoa para contato, condições de pagamento, prazo de entrega, custo de frete se houver</w:t>
      </w:r>
      <w:r w:rsidR="00B83F1F" w:rsidRPr="00AD2BC1">
        <w:rPr>
          <w:color w:val="000000"/>
        </w:rPr>
        <w:t>,</w:t>
      </w:r>
      <w:r w:rsidR="00B57261" w:rsidRPr="00AD2BC1">
        <w:rPr>
          <w:color w:val="000000"/>
        </w:rPr>
        <w:t xml:space="preserve"> validade da proposta</w:t>
      </w:r>
      <w:r w:rsidR="00B83F1F" w:rsidRPr="00AD2BC1">
        <w:rPr>
          <w:color w:val="000000"/>
        </w:rPr>
        <w:t xml:space="preserve">, acompanhado do texto “para atender demanda do contrato de gestão </w:t>
      </w:r>
      <w:r w:rsidR="00B83F1F" w:rsidRPr="00AD2BC1">
        <w:t>537/2019, celebrado entre o Município de Barueri e o Instituto de Cidadania Raízes”</w:t>
      </w:r>
      <w:r w:rsidR="00B57261" w:rsidRPr="00AD2BC1">
        <w:rPr>
          <w:color w:val="000000"/>
        </w:rPr>
        <w:t>.</w:t>
      </w:r>
    </w:p>
    <w:p w:rsidR="00B57261" w:rsidRPr="00AD2BC1" w:rsidRDefault="00462FC0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D2BC1">
        <w:rPr>
          <w:color w:val="000000"/>
        </w:rPr>
        <w:tab/>
      </w:r>
      <w:r w:rsidR="00B57261" w:rsidRPr="00AD2BC1">
        <w:rPr>
          <w:color w:val="000000"/>
        </w:rPr>
        <w:t>As propostas deverão ser enviadas ao endereço abaixo ou ao e-mail </w:t>
      </w:r>
      <w:r w:rsidR="003B7296" w:rsidRPr="00AD2BC1">
        <w:rPr>
          <w:color w:val="000000"/>
        </w:rPr>
        <w:t>suprimentos</w:t>
      </w:r>
      <w:r w:rsidR="00B57261" w:rsidRPr="00AD2BC1">
        <w:rPr>
          <w:color w:val="000000"/>
        </w:rPr>
        <w:t>@portalraizes.org.br</w:t>
      </w:r>
      <w:r w:rsidR="003B7296" w:rsidRPr="00AD2BC1">
        <w:rPr>
          <w:color w:val="000000"/>
        </w:rPr>
        <w:t>,</w:t>
      </w:r>
      <w:r w:rsidR="00B57261" w:rsidRPr="00AD2BC1">
        <w:rPr>
          <w:color w:val="000000"/>
        </w:rPr>
        <w:t> até às</w:t>
      </w:r>
      <w:r w:rsidR="003B7296" w:rsidRPr="00AD2BC1">
        <w:rPr>
          <w:color w:val="000000"/>
        </w:rPr>
        <w:t xml:space="preserve"> 18 horas do dia </w:t>
      </w:r>
      <w:r w:rsidR="00671DE8" w:rsidRPr="00AD2BC1">
        <w:rPr>
          <w:color w:val="000000"/>
        </w:rPr>
        <w:t xml:space="preserve">20 de outubro </w:t>
      </w:r>
      <w:r w:rsidR="003B7296" w:rsidRPr="00AD2BC1">
        <w:rPr>
          <w:color w:val="000000"/>
        </w:rPr>
        <w:t>de 2020.</w:t>
      </w:r>
    </w:p>
    <w:p w:rsidR="003B7296" w:rsidRPr="00AD2BC1" w:rsidRDefault="003B7296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B57261" w:rsidRPr="00AD2BC1" w:rsidRDefault="00B57261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color w:val="000000"/>
          <w:bdr w:val="none" w:sz="0" w:space="0" w:color="auto" w:frame="1"/>
        </w:rPr>
      </w:pPr>
      <w:r w:rsidRPr="00AD2BC1">
        <w:rPr>
          <w:rStyle w:val="Forte"/>
          <w:color w:val="000000"/>
          <w:bdr w:val="none" w:sz="0" w:space="0" w:color="auto" w:frame="1"/>
        </w:rPr>
        <w:t>Objeto</w:t>
      </w:r>
    </w:p>
    <w:p w:rsidR="00B57261" w:rsidRPr="00AD2BC1" w:rsidRDefault="00B57261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tbl>
      <w:tblPr>
        <w:tblStyle w:val="Tabelacomgrade"/>
        <w:tblW w:w="9878" w:type="dxa"/>
        <w:tblLayout w:type="fixed"/>
        <w:tblLook w:val="04A0" w:firstRow="1" w:lastRow="0" w:firstColumn="1" w:lastColumn="0" w:noHBand="0" w:noVBand="1"/>
      </w:tblPr>
      <w:tblGrid>
        <w:gridCol w:w="1190"/>
        <w:gridCol w:w="2480"/>
        <w:gridCol w:w="3507"/>
        <w:gridCol w:w="2701"/>
      </w:tblGrid>
      <w:tr w:rsidR="00B83F1F" w:rsidRPr="00AD2BC1" w:rsidTr="00B83F1F">
        <w:trPr>
          <w:trHeight w:val="416"/>
        </w:trPr>
        <w:tc>
          <w:tcPr>
            <w:tcW w:w="1190" w:type="dxa"/>
            <w:vAlign w:val="center"/>
          </w:tcPr>
          <w:p w:rsidR="00B83F1F" w:rsidRPr="00AD2BC1" w:rsidRDefault="00B83F1F" w:rsidP="000965B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D2BC1">
              <w:rPr>
                <w:color w:val="000000"/>
              </w:rPr>
              <w:t>ITEM</w:t>
            </w:r>
          </w:p>
        </w:tc>
        <w:tc>
          <w:tcPr>
            <w:tcW w:w="2480" w:type="dxa"/>
            <w:vAlign w:val="center"/>
          </w:tcPr>
          <w:p w:rsidR="00B83F1F" w:rsidRPr="00AD2BC1" w:rsidRDefault="00B83F1F" w:rsidP="000965B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D2BC1">
              <w:rPr>
                <w:color w:val="000000"/>
              </w:rPr>
              <w:t>DESCRIÇÃO</w:t>
            </w:r>
          </w:p>
        </w:tc>
        <w:tc>
          <w:tcPr>
            <w:tcW w:w="3507" w:type="dxa"/>
            <w:vAlign w:val="center"/>
          </w:tcPr>
          <w:p w:rsidR="00B83F1F" w:rsidRPr="00AD2BC1" w:rsidRDefault="00B83F1F" w:rsidP="000965B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D2BC1">
              <w:rPr>
                <w:color w:val="000000"/>
              </w:rPr>
              <w:t>ESPECIFICAÇÕES</w:t>
            </w:r>
          </w:p>
        </w:tc>
        <w:tc>
          <w:tcPr>
            <w:tcW w:w="2701" w:type="dxa"/>
            <w:vAlign w:val="center"/>
          </w:tcPr>
          <w:p w:rsidR="00B83F1F" w:rsidRPr="00AD2BC1" w:rsidRDefault="00B83F1F" w:rsidP="000965B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D2BC1">
              <w:rPr>
                <w:color w:val="000000"/>
              </w:rPr>
              <w:t>QUANTIDADE</w:t>
            </w:r>
          </w:p>
        </w:tc>
      </w:tr>
      <w:tr w:rsidR="00B83F1F" w:rsidRPr="00AD2BC1" w:rsidTr="00B83F1F">
        <w:trPr>
          <w:trHeight w:val="267"/>
        </w:trPr>
        <w:tc>
          <w:tcPr>
            <w:tcW w:w="1190" w:type="dxa"/>
            <w:vAlign w:val="center"/>
          </w:tcPr>
          <w:p w:rsidR="00B83F1F" w:rsidRPr="00AD2BC1" w:rsidRDefault="00462FC0" w:rsidP="000965B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D2BC1">
              <w:rPr>
                <w:color w:val="000000"/>
              </w:rPr>
              <w:t>01</w:t>
            </w:r>
          </w:p>
        </w:tc>
        <w:tc>
          <w:tcPr>
            <w:tcW w:w="2480" w:type="dxa"/>
            <w:vAlign w:val="center"/>
          </w:tcPr>
          <w:p w:rsidR="00B83F1F" w:rsidRPr="00AD2BC1" w:rsidRDefault="00AC0E4A" w:rsidP="000965B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D2BC1">
              <w:rPr>
                <w:color w:val="000000"/>
              </w:rPr>
              <w:t xml:space="preserve">Contratação de empresa para </w:t>
            </w:r>
            <w:r w:rsidR="003B7296" w:rsidRPr="00AD2BC1">
              <w:rPr>
                <w:color w:val="000000"/>
              </w:rPr>
              <w:t xml:space="preserve">Serviço de </w:t>
            </w:r>
            <w:r w:rsidRPr="00AD2BC1">
              <w:rPr>
                <w:color w:val="000000"/>
              </w:rPr>
              <w:t>transporte de pessoas em ônibus – durante os meses de outubro, novembro e dezembro de 2020</w:t>
            </w:r>
            <w:r w:rsidR="00EC7A61" w:rsidRPr="00AD2BC1">
              <w:rPr>
                <w:color w:val="000000"/>
              </w:rPr>
              <w:t xml:space="preserve"> – Para atender as modalidades esportivas do Basquetebol e Handebol</w:t>
            </w:r>
            <w:r w:rsidRPr="00AD2BC1">
              <w:rPr>
                <w:color w:val="000000"/>
              </w:rPr>
              <w:t>.</w:t>
            </w:r>
          </w:p>
        </w:tc>
        <w:tc>
          <w:tcPr>
            <w:tcW w:w="3507" w:type="dxa"/>
            <w:vAlign w:val="center"/>
          </w:tcPr>
          <w:p w:rsidR="00B83F1F" w:rsidRPr="00AD2BC1" w:rsidRDefault="00EC7A61" w:rsidP="000965B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D2BC1">
              <w:rPr>
                <w:color w:val="000000"/>
              </w:rPr>
              <w:t xml:space="preserve">Contratação de empresa para Serviço de transporte de pessoas em ônibus </w:t>
            </w:r>
            <w:r w:rsidR="00AD2BC1" w:rsidRPr="00AD2BC1">
              <w:rPr>
                <w:color w:val="000000"/>
              </w:rPr>
              <w:t>p</w:t>
            </w:r>
            <w:r w:rsidRPr="00AD2BC1">
              <w:rPr>
                <w:color w:val="000000"/>
              </w:rPr>
              <w:t>ara atender as modalidades esportivas do Basquetebol e Handebol, conforme dias, horários e locais mencionados.</w:t>
            </w:r>
          </w:p>
          <w:p w:rsidR="00EC7A61" w:rsidRPr="00AD2BC1" w:rsidRDefault="00EC7A61" w:rsidP="000965B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D2BC1">
              <w:rPr>
                <w:color w:val="000000"/>
              </w:rPr>
              <w:t xml:space="preserve">- Basquetebol; transporte de atletas da </w:t>
            </w:r>
            <w:r w:rsidR="00AE401F" w:rsidRPr="00AD2BC1">
              <w:rPr>
                <w:color w:val="000000"/>
              </w:rPr>
              <w:t xml:space="preserve">categoria Sub 13, da </w:t>
            </w:r>
            <w:r w:rsidRPr="00AD2BC1">
              <w:rPr>
                <w:color w:val="000000"/>
              </w:rPr>
              <w:t xml:space="preserve">modalidade por até </w:t>
            </w:r>
            <w:proofErr w:type="gramStart"/>
            <w:r w:rsidRPr="00AD2BC1">
              <w:rPr>
                <w:color w:val="000000"/>
              </w:rPr>
              <w:t>4</w:t>
            </w:r>
            <w:proofErr w:type="gramEnd"/>
            <w:r w:rsidRPr="00AD2BC1">
              <w:rPr>
                <w:color w:val="000000"/>
              </w:rPr>
              <w:t xml:space="preserve"> vezes da semana, no período noturno. Sendo o local de origem da viagem o Gin. De Esportes do Jd. Silveira, que fica na </w:t>
            </w:r>
            <w:proofErr w:type="gramStart"/>
            <w:r w:rsidRPr="00AD2BC1">
              <w:rPr>
                <w:color w:val="000000"/>
              </w:rPr>
              <w:t>avenida</w:t>
            </w:r>
            <w:proofErr w:type="gramEnd"/>
            <w:r w:rsidRPr="00AD2BC1">
              <w:rPr>
                <w:color w:val="000000"/>
              </w:rPr>
              <w:t xml:space="preserve"> Presidente Washington </w:t>
            </w:r>
            <w:proofErr w:type="spellStart"/>
            <w:r w:rsidRPr="00AD2BC1">
              <w:rPr>
                <w:color w:val="000000"/>
              </w:rPr>
              <w:t>Luis</w:t>
            </w:r>
            <w:proofErr w:type="spellEnd"/>
            <w:r w:rsidRPr="00AD2BC1">
              <w:rPr>
                <w:color w:val="000000"/>
              </w:rPr>
              <w:t xml:space="preserve">, 219, Jardim Silveira/Barueri-SP, com destino ao CIE – Centro de Iniciação Esportiva, que fica na rua Primavera. </w:t>
            </w:r>
            <w:proofErr w:type="gramStart"/>
            <w:r w:rsidRPr="00AD2BC1">
              <w:rPr>
                <w:color w:val="000000"/>
              </w:rPr>
              <w:t>47, Jardim</w:t>
            </w:r>
            <w:proofErr w:type="gramEnd"/>
            <w:r w:rsidRPr="00AD2BC1">
              <w:rPr>
                <w:color w:val="000000"/>
              </w:rPr>
              <w:t xml:space="preserve"> dos </w:t>
            </w:r>
            <w:r w:rsidR="006417E1" w:rsidRPr="00AD2BC1">
              <w:rPr>
                <w:color w:val="000000"/>
              </w:rPr>
              <w:t>Altos/Barueri-SP, e vice-versa com ida e volta.</w:t>
            </w:r>
          </w:p>
          <w:p w:rsidR="00EC7A61" w:rsidRPr="00AD2BC1" w:rsidRDefault="00942D2E" w:rsidP="000965B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D2BC1">
              <w:rPr>
                <w:color w:val="000000"/>
              </w:rPr>
              <w:t>Handebol: transporte de atletas</w:t>
            </w:r>
            <w:r w:rsidR="00AE401F" w:rsidRPr="00AD2BC1">
              <w:rPr>
                <w:color w:val="000000"/>
              </w:rPr>
              <w:t xml:space="preserve"> das categorias Infantil e Cadete,</w:t>
            </w:r>
            <w:r w:rsidRPr="00AD2BC1">
              <w:rPr>
                <w:color w:val="000000"/>
              </w:rPr>
              <w:t xml:space="preserve"> da modalidade </w:t>
            </w:r>
            <w:r w:rsidR="0065398A" w:rsidRPr="00AD2BC1">
              <w:rPr>
                <w:color w:val="000000"/>
              </w:rPr>
              <w:t xml:space="preserve">nos dias de segunda-feira, terça-feira, quarta-feira e sexta-feira. Sendo o local </w:t>
            </w:r>
            <w:r w:rsidR="0065398A" w:rsidRPr="00AD2BC1">
              <w:rPr>
                <w:color w:val="000000"/>
              </w:rPr>
              <w:lastRenderedPageBreak/>
              <w:t xml:space="preserve">de origem o CIE – Centro de Iniciação Esportiva, que fica na </w:t>
            </w:r>
            <w:proofErr w:type="gramStart"/>
            <w:r w:rsidR="0065398A" w:rsidRPr="00AD2BC1">
              <w:rPr>
                <w:color w:val="000000"/>
              </w:rPr>
              <w:t>rua</w:t>
            </w:r>
            <w:proofErr w:type="gramEnd"/>
            <w:r w:rsidR="0065398A" w:rsidRPr="00AD2BC1">
              <w:rPr>
                <w:color w:val="000000"/>
              </w:rPr>
              <w:t xml:space="preserve"> Primavera. 47, Jardim dos Altos/Barueri-SP, ás </w:t>
            </w:r>
            <w:proofErr w:type="gramStart"/>
            <w:r w:rsidR="0065398A" w:rsidRPr="00AD2BC1">
              <w:rPr>
                <w:color w:val="000000"/>
              </w:rPr>
              <w:t>15:40</w:t>
            </w:r>
            <w:proofErr w:type="gramEnd"/>
            <w:r w:rsidR="0065398A" w:rsidRPr="00AD2BC1">
              <w:rPr>
                <w:color w:val="000000"/>
              </w:rPr>
              <w:t xml:space="preserve">, com destino ao Ginásio do </w:t>
            </w:r>
            <w:proofErr w:type="spellStart"/>
            <w:r w:rsidR="0065398A" w:rsidRPr="00AD2BC1">
              <w:rPr>
                <w:color w:val="000000"/>
              </w:rPr>
              <w:t>Reginalice</w:t>
            </w:r>
            <w:proofErr w:type="spellEnd"/>
            <w:r w:rsidR="0065398A" w:rsidRPr="00AD2BC1">
              <w:rPr>
                <w:color w:val="000000"/>
              </w:rPr>
              <w:t xml:space="preserve">, que fica na rua Mar Negro, 155, Jardim </w:t>
            </w:r>
            <w:proofErr w:type="spellStart"/>
            <w:r w:rsidR="0065398A" w:rsidRPr="00AD2BC1">
              <w:rPr>
                <w:color w:val="000000"/>
              </w:rPr>
              <w:t>Reginalice</w:t>
            </w:r>
            <w:proofErr w:type="spellEnd"/>
            <w:r w:rsidR="0065398A" w:rsidRPr="00AD2BC1">
              <w:rPr>
                <w:color w:val="000000"/>
              </w:rPr>
              <w:t xml:space="preserve">/Barueri-SP, e vice versa, </w:t>
            </w:r>
            <w:r w:rsidR="006417E1" w:rsidRPr="00AD2BC1">
              <w:rPr>
                <w:color w:val="000000"/>
              </w:rPr>
              <w:t xml:space="preserve">com ida e volta, </w:t>
            </w:r>
            <w:r w:rsidR="0065398A" w:rsidRPr="00AD2BC1">
              <w:rPr>
                <w:color w:val="000000"/>
              </w:rPr>
              <w:t xml:space="preserve">com previsão de saída do Ginásio do </w:t>
            </w:r>
            <w:proofErr w:type="spellStart"/>
            <w:r w:rsidR="0065398A" w:rsidRPr="00AD2BC1">
              <w:rPr>
                <w:color w:val="000000"/>
              </w:rPr>
              <w:t>Reginalice</w:t>
            </w:r>
            <w:proofErr w:type="spellEnd"/>
            <w:r w:rsidR="0065398A" w:rsidRPr="00AD2BC1">
              <w:rPr>
                <w:color w:val="000000"/>
              </w:rPr>
              <w:t xml:space="preserve"> ás 17h10.</w:t>
            </w:r>
          </w:p>
          <w:p w:rsidR="00AD2BC1" w:rsidRPr="00AD2BC1" w:rsidRDefault="00AD2BC1" w:rsidP="000965B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  <w:p w:rsidR="00AD2BC1" w:rsidRPr="00AD2BC1" w:rsidRDefault="00AD2BC1" w:rsidP="00AD2BC1">
            <w:pPr>
              <w:spacing w:line="360" w:lineRule="auto"/>
              <w:jc w:val="both"/>
              <w:rPr>
                <w:b/>
              </w:rPr>
            </w:pPr>
            <w:r w:rsidRPr="00AD2BC1">
              <w:rPr>
                <w:b/>
              </w:rPr>
              <w:t>Do Prazo:</w:t>
            </w:r>
          </w:p>
          <w:p w:rsidR="00AD2BC1" w:rsidRPr="00AD2BC1" w:rsidRDefault="00AD2BC1" w:rsidP="00AD2BC1">
            <w:pPr>
              <w:spacing w:line="360" w:lineRule="auto"/>
              <w:jc w:val="both"/>
            </w:pPr>
            <w:r w:rsidRPr="00AD2BC1">
              <w:t xml:space="preserve"> - A vigência da contratação será da data de assinatura até 19/09/2021.</w:t>
            </w:r>
          </w:p>
          <w:p w:rsidR="00AD2BC1" w:rsidRPr="00AD2BC1" w:rsidRDefault="00AD2BC1" w:rsidP="00AD2BC1">
            <w:pPr>
              <w:spacing w:line="360" w:lineRule="auto"/>
              <w:jc w:val="both"/>
              <w:rPr>
                <w:b/>
              </w:rPr>
            </w:pPr>
            <w:r w:rsidRPr="00AD2BC1">
              <w:t xml:space="preserve"> </w:t>
            </w:r>
            <w:r w:rsidRPr="00AD2BC1">
              <w:rPr>
                <w:b/>
              </w:rPr>
              <w:t>- Do pagamento do serviço:</w:t>
            </w:r>
          </w:p>
          <w:p w:rsidR="00AD2BC1" w:rsidRPr="00AD2BC1" w:rsidRDefault="00AD2BC1" w:rsidP="00AD2BC1">
            <w:pPr>
              <w:shd w:val="clear" w:color="auto" w:fill="FFFFFF"/>
              <w:spacing w:line="360" w:lineRule="auto"/>
              <w:jc w:val="both"/>
            </w:pPr>
            <w:r w:rsidRPr="00AD2BC1">
              <w:t xml:space="preserve"> - O montante a ser pago pela prestação do serviço será mediante a apresentação de relatório das atividades executadas.</w:t>
            </w:r>
          </w:p>
          <w:p w:rsidR="00AD2BC1" w:rsidRPr="00AD2BC1" w:rsidRDefault="00AD2BC1" w:rsidP="000965B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701" w:type="dxa"/>
            <w:vAlign w:val="center"/>
          </w:tcPr>
          <w:p w:rsidR="00B83F1F" w:rsidRPr="00AD2BC1" w:rsidRDefault="00872ECC" w:rsidP="000965B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D2BC1">
              <w:rPr>
                <w:color w:val="000000"/>
              </w:rPr>
              <w:lastRenderedPageBreak/>
              <w:t>1</w:t>
            </w:r>
            <w:r w:rsidR="0065398A" w:rsidRPr="00AD2BC1">
              <w:rPr>
                <w:color w:val="000000"/>
              </w:rPr>
              <w:t xml:space="preserve"> -</w:t>
            </w:r>
            <w:r w:rsidRPr="00AD2BC1">
              <w:rPr>
                <w:color w:val="000000"/>
              </w:rPr>
              <w:t xml:space="preserve"> </w:t>
            </w:r>
            <w:r w:rsidR="0065398A" w:rsidRPr="00AD2BC1">
              <w:rPr>
                <w:color w:val="000000"/>
              </w:rPr>
              <w:t>Serviço de transporte de pessoas em ônibus – durante os meses de outubro, novembro e dezembro de 2020 – Para atender as modalidades esportivas do Basquetebol e Handebol.</w:t>
            </w:r>
          </w:p>
        </w:tc>
      </w:tr>
    </w:tbl>
    <w:p w:rsidR="00B57261" w:rsidRPr="00AD2BC1" w:rsidRDefault="00B57261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872ECC" w:rsidRPr="00AD2BC1" w:rsidRDefault="00872ECC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D2BC1">
        <w:rPr>
          <w:color w:val="000000"/>
        </w:rPr>
        <w:t>Especificações Técnicas/Justificativa</w:t>
      </w:r>
    </w:p>
    <w:p w:rsidR="00AE401F" w:rsidRPr="00AD2BC1" w:rsidRDefault="00AE401F" w:rsidP="000965B8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AD2BC1">
        <w:rPr>
          <w:color w:val="000000"/>
        </w:rPr>
        <w:t>A contratação de uma empresa para o serviço de transporte de pessoas em ônibus – durante os meses de outubro, novembro e dezembro de 2020, para atender os atletas das modalidades esportivas do Sub 13 do Basquetebol e Infantil e Cadete do Handebol, conforme dias, horários e locais mencionados, têm as seguintes justificativas:</w:t>
      </w:r>
    </w:p>
    <w:p w:rsidR="00D44D15" w:rsidRPr="00AD2BC1" w:rsidRDefault="00AE401F" w:rsidP="000965B8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AD2BC1">
        <w:rPr>
          <w:color w:val="000000"/>
        </w:rPr>
        <w:t>O fornecimento de transporte aos atletas auxilia no fomento da formação esportiva, proporcionando melhor captação de atletas para as modalidades e categorias uma vez que os locais de treinamentos não são de fácil acesso.</w:t>
      </w:r>
    </w:p>
    <w:p w:rsidR="00AE401F" w:rsidRPr="00AD2BC1" w:rsidRDefault="00AE401F" w:rsidP="000965B8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B57261" w:rsidRPr="00AD2BC1" w:rsidRDefault="00B57261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D2BC1">
        <w:rPr>
          <w:rStyle w:val="Forte"/>
          <w:color w:val="000000"/>
          <w:bdr w:val="none" w:sz="0" w:space="0" w:color="auto" w:frame="1"/>
        </w:rPr>
        <w:t>CERTIDÕES EXIGIDAS:</w:t>
      </w:r>
    </w:p>
    <w:p w:rsidR="00B57261" w:rsidRPr="00AD2BC1" w:rsidRDefault="00462FC0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D2BC1">
        <w:rPr>
          <w:color w:val="000000"/>
        </w:rPr>
        <w:tab/>
      </w:r>
      <w:r w:rsidR="00B57261" w:rsidRPr="00AD2BC1">
        <w:rPr>
          <w:color w:val="000000"/>
        </w:rPr>
        <w:t>Contrato Social (Cópia Autenticada), Quitação com o INSS, Quitação com o FGTS, Certidão Conjunta de Débitos Relativos a Tributos Federais e à Dívida Ativa da União e Certidão Negativa de Débito</w:t>
      </w:r>
      <w:r w:rsidRPr="00AD2BC1">
        <w:rPr>
          <w:color w:val="000000"/>
        </w:rPr>
        <w:t xml:space="preserve"> Municipal e Estadual (Documentação exigida durante o processo de aquisição)</w:t>
      </w:r>
      <w:r w:rsidR="00B57261" w:rsidRPr="00AD2BC1">
        <w:rPr>
          <w:color w:val="000000"/>
        </w:rPr>
        <w:t>.</w:t>
      </w:r>
    </w:p>
    <w:p w:rsidR="00462FC0" w:rsidRPr="00AD2BC1" w:rsidRDefault="00462FC0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0965B8" w:rsidRPr="00AD2BC1" w:rsidRDefault="00B57261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D2BC1">
        <w:rPr>
          <w:rStyle w:val="Forte"/>
          <w:color w:val="000000"/>
          <w:bdr w:val="none" w:sz="0" w:space="0" w:color="auto" w:frame="1"/>
        </w:rPr>
        <w:t>Prazo de execução</w:t>
      </w:r>
    </w:p>
    <w:p w:rsidR="00872ECC" w:rsidRPr="00AD2BC1" w:rsidRDefault="00872ECC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b w:val="0"/>
          <w:color w:val="000000"/>
          <w:bdr w:val="none" w:sz="0" w:space="0" w:color="auto" w:frame="1"/>
        </w:rPr>
      </w:pPr>
      <w:proofErr w:type="gramStart"/>
      <w:r w:rsidRPr="00AD2BC1">
        <w:rPr>
          <w:rStyle w:val="Forte"/>
          <w:b w:val="0"/>
          <w:color w:val="000000"/>
          <w:bdr w:val="none" w:sz="0" w:space="0" w:color="auto" w:frame="1"/>
        </w:rPr>
        <w:t>1</w:t>
      </w:r>
      <w:proofErr w:type="gramEnd"/>
      <w:r w:rsidRPr="00AD2BC1">
        <w:rPr>
          <w:rStyle w:val="Forte"/>
          <w:b w:val="0"/>
          <w:color w:val="000000"/>
          <w:bdr w:val="none" w:sz="0" w:space="0" w:color="auto" w:frame="1"/>
        </w:rPr>
        <w:t xml:space="preserve"> (um) dia útil</w:t>
      </w:r>
      <w:r w:rsidR="000965B8" w:rsidRPr="00AD2BC1">
        <w:rPr>
          <w:rStyle w:val="Forte"/>
          <w:b w:val="0"/>
          <w:color w:val="000000"/>
          <w:bdr w:val="none" w:sz="0" w:space="0" w:color="auto" w:frame="1"/>
        </w:rPr>
        <w:t>, após a aprovação da proposta de orçamento.</w:t>
      </w:r>
    </w:p>
    <w:p w:rsidR="00B57261" w:rsidRPr="00AD2BC1" w:rsidRDefault="00B57261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D2BC1">
        <w:rPr>
          <w:rStyle w:val="Forte"/>
          <w:color w:val="000000"/>
          <w:bdr w:val="none" w:sz="0" w:space="0" w:color="auto" w:frame="1"/>
        </w:rPr>
        <w:t> </w:t>
      </w:r>
    </w:p>
    <w:p w:rsidR="00B57261" w:rsidRPr="00AD2BC1" w:rsidRDefault="00B57261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D2BC1">
        <w:rPr>
          <w:rStyle w:val="Forte"/>
          <w:color w:val="000000"/>
          <w:bdr w:val="none" w:sz="0" w:space="0" w:color="auto" w:frame="1"/>
        </w:rPr>
        <w:t>Critérios de Julgamento</w:t>
      </w:r>
      <w:r w:rsidRPr="00AD2BC1">
        <w:rPr>
          <w:color w:val="000000"/>
        </w:rPr>
        <w:t> </w:t>
      </w:r>
    </w:p>
    <w:p w:rsidR="00B57261" w:rsidRPr="00AD2BC1" w:rsidRDefault="00B57261" w:rsidP="000965B8">
      <w:pPr>
        <w:widowControl/>
        <w:numPr>
          <w:ilvl w:val="0"/>
          <w:numId w:val="17"/>
        </w:numPr>
        <w:shd w:val="clear" w:color="auto" w:fill="FFFFFF"/>
        <w:suppressAutoHyphens w:val="0"/>
        <w:ind w:left="480"/>
        <w:jc w:val="both"/>
        <w:textAlignment w:val="baseline"/>
        <w:rPr>
          <w:color w:val="000000"/>
        </w:rPr>
      </w:pPr>
      <w:r w:rsidRPr="00AD2BC1">
        <w:rPr>
          <w:color w:val="000000"/>
        </w:rPr>
        <w:t xml:space="preserve">Melhor </w:t>
      </w:r>
      <w:r w:rsidR="005F6FB6" w:rsidRPr="00AD2BC1">
        <w:rPr>
          <w:color w:val="000000"/>
        </w:rPr>
        <w:t>custo benefício</w:t>
      </w:r>
      <w:r w:rsidRPr="00AD2BC1">
        <w:rPr>
          <w:color w:val="000000"/>
        </w:rPr>
        <w:t>;</w:t>
      </w:r>
    </w:p>
    <w:p w:rsidR="00B57261" w:rsidRPr="00AD2BC1" w:rsidRDefault="00B57261" w:rsidP="000965B8">
      <w:pPr>
        <w:widowControl/>
        <w:numPr>
          <w:ilvl w:val="0"/>
          <w:numId w:val="17"/>
        </w:numPr>
        <w:shd w:val="clear" w:color="auto" w:fill="FFFFFF"/>
        <w:suppressAutoHyphens w:val="0"/>
        <w:ind w:left="480"/>
        <w:jc w:val="both"/>
        <w:textAlignment w:val="baseline"/>
        <w:rPr>
          <w:color w:val="000000"/>
        </w:rPr>
      </w:pPr>
      <w:r w:rsidRPr="00AD2BC1">
        <w:rPr>
          <w:color w:val="000000"/>
        </w:rPr>
        <w:t>Documentação (habilidade jurídica e regularidade fiscal);</w:t>
      </w:r>
    </w:p>
    <w:p w:rsidR="00B57261" w:rsidRPr="00AD2BC1" w:rsidRDefault="00B57261" w:rsidP="000965B8">
      <w:pPr>
        <w:widowControl/>
        <w:numPr>
          <w:ilvl w:val="0"/>
          <w:numId w:val="17"/>
        </w:numPr>
        <w:shd w:val="clear" w:color="auto" w:fill="FFFFFF"/>
        <w:suppressAutoHyphens w:val="0"/>
        <w:ind w:left="480"/>
        <w:jc w:val="both"/>
        <w:textAlignment w:val="baseline"/>
        <w:rPr>
          <w:color w:val="000000"/>
        </w:rPr>
      </w:pPr>
      <w:r w:rsidRPr="00AD2BC1">
        <w:rPr>
          <w:color w:val="000000"/>
        </w:rPr>
        <w:lastRenderedPageBreak/>
        <w:t>Atendimento às especificações técnicas;</w:t>
      </w:r>
    </w:p>
    <w:p w:rsidR="00B57261" w:rsidRPr="00AD2BC1" w:rsidRDefault="00B57261" w:rsidP="000965B8">
      <w:pPr>
        <w:widowControl/>
        <w:numPr>
          <w:ilvl w:val="0"/>
          <w:numId w:val="17"/>
        </w:numPr>
        <w:shd w:val="clear" w:color="auto" w:fill="FFFFFF"/>
        <w:suppressAutoHyphens w:val="0"/>
        <w:ind w:left="480"/>
        <w:jc w:val="both"/>
        <w:textAlignment w:val="baseline"/>
        <w:rPr>
          <w:color w:val="000000"/>
        </w:rPr>
      </w:pPr>
      <w:r w:rsidRPr="00AD2BC1">
        <w:rPr>
          <w:color w:val="000000"/>
        </w:rPr>
        <w:t>Atendimento ao Termo de Referência na sua integralidade.</w:t>
      </w:r>
    </w:p>
    <w:p w:rsidR="000965B8" w:rsidRPr="00AD2BC1" w:rsidRDefault="000965B8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0965B8" w:rsidRPr="00AD2BC1" w:rsidRDefault="000965B8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B57261" w:rsidRPr="00AD2BC1" w:rsidRDefault="00B57261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color w:val="000000"/>
          <w:bdr w:val="none" w:sz="0" w:space="0" w:color="auto" w:frame="1"/>
        </w:rPr>
      </w:pPr>
      <w:r w:rsidRPr="00AD2BC1">
        <w:rPr>
          <w:color w:val="000000"/>
        </w:rPr>
        <w:t> </w:t>
      </w:r>
      <w:r w:rsidRPr="00AD2BC1">
        <w:rPr>
          <w:rStyle w:val="Forte"/>
          <w:color w:val="000000"/>
          <w:bdr w:val="none" w:sz="0" w:space="0" w:color="auto" w:frame="1"/>
        </w:rPr>
        <w:t>FORMA DE PAGAMENTO:</w:t>
      </w:r>
    </w:p>
    <w:p w:rsidR="00E17D8A" w:rsidRPr="00AD2BC1" w:rsidRDefault="00E17D8A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</w:rPr>
      </w:pPr>
      <w:proofErr w:type="gramStart"/>
      <w:r w:rsidRPr="00AD2BC1">
        <w:rPr>
          <w:rStyle w:val="Forte"/>
          <w:b w:val="0"/>
          <w:color w:val="000000"/>
          <w:bdr w:val="none" w:sz="0" w:space="0" w:color="auto" w:frame="1"/>
        </w:rPr>
        <w:t>3</w:t>
      </w:r>
      <w:proofErr w:type="gramEnd"/>
      <w:r w:rsidRPr="00AD2BC1">
        <w:rPr>
          <w:rStyle w:val="Forte"/>
          <w:b w:val="0"/>
          <w:color w:val="000000"/>
          <w:bdr w:val="none" w:sz="0" w:space="0" w:color="auto" w:frame="1"/>
        </w:rPr>
        <w:t xml:space="preserve"> (três) dias</w:t>
      </w:r>
      <w:r w:rsidR="000965B8" w:rsidRPr="00AD2BC1">
        <w:rPr>
          <w:rStyle w:val="Forte"/>
          <w:b w:val="0"/>
          <w:color w:val="000000"/>
          <w:bdr w:val="none" w:sz="0" w:space="0" w:color="auto" w:frame="1"/>
        </w:rPr>
        <w:t>, após a realização do serviço</w:t>
      </w:r>
      <w:r w:rsidRPr="00AD2BC1">
        <w:rPr>
          <w:rStyle w:val="Forte"/>
          <w:b w:val="0"/>
          <w:color w:val="000000"/>
          <w:bdr w:val="none" w:sz="0" w:space="0" w:color="auto" w:frame="1"/>
        </w:rPr>
        <w:t>.</w:t>
      </w:r>
    </w:p>
    <w:p w:rsidR="00E17D8A" w:rsidRPr="00AD2BC1" w:rsidRDefault="00E17D8A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color w:val="000000"/>
          <w:bdr w:val="none" w:sz="0" w:space="0" w:color="auto" w:frame="1"/>
        </w:rPr>
      </w:pPr>
    </w:p>
    <w:p w:rsidR="00B57261" w:rsidRPr="00AD2BC1" w:rsidRDefault="00B57261" w:rsidP="000965B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D2BC1">
        <w:rPr>
          <w:rStyle w:val="Forte"/>
          <w:color w:val="000000"/>
          <w:bdr w:val="none" w:sz="0" w:space="0" w:color="auto" w:frame="1"/>
        </w:rPr>
        <w:t>LOCAL DE ENTREGA</w:t>
      </w:r>
      <w:r w:rsidR="00E17D8A" w:rsidRPr="00AD2BC1">
        <w:rPr>
          <w:rStyle w:val="Forte"/>
          <w:color w:val="000000"/>
          <w:bdr w:val="none" w:sz="0" w:space="0" w:color="auto" w:frame="1"/>
        </w:rPr>
        <w:t>/INSTALAÇÃO</w:t>
      </w:r>
      <w:r w:rsidRPr="00AD2BC1">
        <w:rPr>
          <w:rStyle w:val="Forte"/>
          <w:color w:val="000000"/>
          <w:bdr w:val="none" w:sz="0" w:space="0" w:color="auto" w:frame="1"/>
        </w:rPr>
        <w:t>:</w:t>
      </w:r>
    </w:p>
    <w:p w:rsidR="005F6FB6" w:rsidRPr="00AD2BC1" w:rsidRDefault="00E17D8A" w:rsidP="000965B8">
      <w:pPr>
        <w:jc w:val="both"/>
      </w:pPr>
      <w:r w:rsidRPr="00AD2BC1">
        <w:t xml:space="preserve">Avenida Guilherme Perereca </w:t>
      </w:r>
      <w:proofErr w:type="spellStart"/>
      <w:r w:rsidRPr="00AD2BC1">
        <w:t>Guglielmo</w:t>
      </w:r>
      <w:proofErr w:type="spellEnd"/>
      <w:r w:rsidRPr="00AD2BC1">
        <w:t>, 1.000, Centro, Barueri – SP. CEP: 06401-145.</w:t>
      </w:r>
    </w:p>
    <w:p w:rsidR="00E17D8A" w:rsidRPr="00AD2BC1" w:rsidRDefault="00E17D8A" w:rsidP="000965B8">
      <w:pPr>
        <w:jc w:val="both"/>
      </w:pPr>
    </w:p>
    <w:p w:rsidR="00E17D8A" w:rsidRPr="00AD2BC1" w:rsidRDefault="00E17D8A" w:rsidP="000965B8">
      <w:pPr>
        <w:jc w:val="both"/>
      </w:pPr>
    </w:p>
    <w:p w:rsidR="002E1369" w:rsidRPr="00AD2BC1" w:rsidRDefault="00697D9A" w:rsidP="000965B8">
      <w:pPr>
        <w:jc w:val="both"/>
      </w:pPr>
      <w:r w:rsidRPr="00AD2BC1">
        <w:t xml:space="preserve"> </w:t>
      </w:r>
      <w:r w:rsidR="00E17D8A" w:rsidRPr="00AD2BC1">
        <w:tab/>
      </w:r>
      <w:r w:rsidR="00E17D8A" w:rsidRPr="00AD2BC1">
        <w:tab/>
      </w:r>
      <w:r w:rsidR="00E17D8A" w:rsidRPr="00AD2BC1">
        <w:tab/>
      </w:r>
      <w:r w:rsidR="00E17D8A" w:rsidRPr="00AD2BC1">
        <w:tab/>
      </w:r>
      <w:r w:rsidR="00E17D8A" w:rsidRPr="00AD2BC1">
        <w:tab/>
      </w:r>
      <w:r w:rsidR="00E17D8A" w:rsidRPr="00AD2BC1">
        <w:tab/>
      </w:r>
      <w:r w:rsidR="00E17D8A" w:rsidRPr="00AD2BC1">
        <w:tab/>
      </w:r>
      <w:r w:rsidR="00E17D8A" w:rsidRPr="00AD2BC1">
        <w:tab/>
        <w:t xml:space="preserve">Barueri, </w:t>
      </w:r>
      <w:r w:rsidR="00671DE8" w:rsidRPr="00AD2BC1">
        <w:t xml:space="preserve">16 de outubro </w:t>
      </w:r>
      <w:r w:rsidR="00E17D8A" w:rsidRPr="00AD2BC1">
        <w:t>de 2020</w:t>
      </w:r>
      <w:r w:rsidR="000965B8" w:rsidRPr="00AD2BC1">
        <w:t>.</w:t>
      </w:r>
    </w:p>
    <w:p w:rsidR="00E17D8A" w:rsidRPr="00AD2BC1" w:rsidRDefault="00E17D8A" w:rsidP="000965B8">
      <w:pPr>
        <w:jc w:val="both"/>
      </w:pPr>
    </w:p>
    <w:p w:rsidR="00462FC0" w:rsidRPr="00AD2BC1" w:rsidRDefault="00462FC0" w:rsidP="000965B8">
      <w:pPr>
        <w:jc w:val="center"/>
        <w:rPr>
          <w:bCs/>
          <w:color w:val="000000"/>
        </w:rPr>
      </w:pPr>
    </w:p>
    <w:p w:rsidR="00AC3028" w:rsidRPr="00AD2BC1" w:rsidRDefault="002E1369" w:rsidP="000965B8">
      <w:pPr>
        <w:jc w:val="center"/>
        <w:rPr>
          <w:bCs/>
          <w:color w:val="000000"/>
        </w:rPr>
      </w:pPr>
      <w:r w:rsidRPr="00AD2BC1">
        <w:rPr>
          <w:bCs/>
          <w:color w:val="000000"/>
        </w:rPr>
        <w:t xml:space="preserve">Jorge </w:t>
      </w:r>
      <w:proofErr w:type="spellStart"/>
      <w:r w:rsidRPr="00AD2BC1">
        <w:rPr>
          <w:bCs/>
          <w:color w:val="000000"/>
        </w:rPr>
        <w:t>Luis</w:t>
      </w:r>
      <w:proofErr w:type="spellEnd"/>
      <w:r w:rsidRPr="00AD2BC1">
        <w:rPr>
          <w:bCs/>
          <w:color w:val="000000"/>
        </w:rPr>
        <w:t xml:space="preserve"> </w:t>
      </w:r>
      <w:proofErr w:type="spellStart"/>
      <w:r w:rsidRPr="00AD2BC1">
        <w:rPr>
          <w:bCs/>
          <w:color w:val="000000"/>
        </w:rPr>
        <w:t>Kay</w:t>
      </w:r>
      <w:proofErr w:type="spellEnd"/>
    </w:p>
    <w:p w:rsidR="00AC3028" w:rsidRPr="00AD2BC1" w:rsidRDefault="00AC3028" w:rsidP="000965B8">
      <w:pPr>
        <w:jc w:val="center"/>
        <w:rPr>
          <w:bCs/>
          <w:color w:val="000000"/>
        </w:rPr>
      </w:pPr>
      <w:r w:rsidRPr="00AD2BC1">
        <w:rPr>
          <w:bCs/>
          <w:color w:val="000000"/>
        </w:rPr>
        <w:t>Presidente</w:t>
      </w:r>
    </w:p>
    <w:p w:rsidR="00DB2B40" w:rsidRPr="00AD2BC1" w:rsidRDefault="00AC3028" w:rsidP="000965B8">
      <w:pPr>
        <w:jc w:val="center"/>
        <w:rPr>
          <w:noProof/>
        </w:rPr>
      </w:pPr>
      <w:r w:rsidRPr="00AD2BC1">
        <w:rPr>
          <w:bCs/>
          <w:color w:val="000000"/>
        </w:rPr>
        <w:t>RG</w:t>
      </w:r>
      <w:r w:rsidR="002E1369" w:rsidRPr="00AD2BC1">
        <w:rPr>
          <w:bCs/>
          <w:color w:val="000000"/>
        </w:rPr>
        <w:t xml:space="preserve"> 8.679.035-4</w:t>
      </w:r>
    </w:p>
    <w:sectPr w:rsidR="00DB2B40" w:rsidRPr="00AD2BC1" w:rsidSect="00952E45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1AE" w:rsidRDefault="003671AE" w:rsidP="005627F0">
      <w:r>
        <w:separator/>
      </w:r>
    </w:p>
  </w:endnote>
  <w:endnote w:type="continuationSeparator" w:id="0">
    <w:p w:rsidR="003671AE" w:rsidRDefault="003671AE" w:rsidP="0056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7F0" w:rsidRPr="001F42DF" w:rsidRDefault="007B01AE" w:rsidP="005627F0">
    <w:pPr>
      <w:pStyle w:val="Rodap"/>
      <w:jc w:val="center"/>
      <w:rPr>
        <w:rFonts w:ascii="Arial" w:hAnsi="Arial" w:cs="Arial"/>
        <w:sz w:val="18"/>
        <w:szCs w:val="18"/>
      </w:rPr>
    </w:pPr>
    <w:r w:rsidRPr="001F42DF">
      <w:rPr>
        <w:rFonts w:ascii="Arial" w:hAnsi="Arial" w:cs="Arial"/>
        <w:sz w:val="18"/>
        <w:szCs w:val="18"/>
      </w:rPr>
      <w:t xml:space="preserve">Rua Caldas Novas, 50 </w:t>
    </w:r>
    <w:r w:rsidR="001F42DF">
      <w:rPr>
        <w:rFonts w:ascii="Arial" w:hAnsi="Arial" w:cs="Arial"/>
        <w:sz w:val="18"/>
        <w:szCs w:val="18"/>
      </w:rPr>
      <w:t>Conjunto</w:t>
    </w:r>
    <w:r w:rsidRPr="001F42DF">
      <w:rPr>
        <w:rFonts w:ascii="Arial" w:hAnsi="Arial" w:cs="Arial"/>
        <w:sz w:val="18"/>
        <w:szCs w:val="18"/>
      </w:rPr>
      <w:t xml:space="preserve"> 44 – </w:t>
    </w:r>
    <w:proofErr w:type="spellStart"/>
    <w:r w:rsidRPr="001F42DF">
      <w:rPr>
        <w:rFonts w:ascii="Arial" w:hAnsi="Arial" w:cs="Arial"/>
        <w:sz w:val="18"/>
        <w:szCs w:val="18"/>
      </w:rPr>
      <w:t>Bethaville</w:t>
    </w:r>
    <w:proofErr w:type="spellEnd"/>
    <w:r w:rsidRPr="001F42DF">
      <w:rPr>
        <w:rFonts w:ascii="Arial" w:hAnsi="Arial" w:cs="Arial"/>
        <w:sz w:val="18"/>
        <w:szCs w:val="18"/>
      </w:rPr>
      <w:t xml:space="preserve"> I – Barueri - SP</w:t>
    </w:r>
    <w:r w:rsidR="005627F0" w:rsidRPr="001F42DF">
      <w:rPr>
        <w:rFonts w:ascii="Arial" w:hAnsi="Arial" w:cs="Arial"/>
        <w:sz w:val="18"/>
        <w:szCs w:val="18"/>
      </w:rPr>
      <w:t xml:space="preserve"> -</w:t>
    </w:r>
    <w:r w:rsidRPr="001F42DF">
      <w:rPr>
        <w:rFonts w:ascii="Arial" w:hAnsi="Arial" w:cs="Arial"/>
        <w:sz w:val="18"/>
        <w:szCs w:val="18"/>
      </w:rPr>
      <w:t xml:space="preserve"> CEP 06404-301</w:t>
    </w:r>
  </w:p>
  <w:p w:rsidR="001F42DF" w:rsidRDefault="001F42DF" w:rsidP="001F42DF">
    <w:pPr>
      <w:pStyle w:val="Rodap"/>
      <w:jc w:val="center"/>
      <w:rPr>
        <w:rFonts w:ascii="Arial" w:hAnsi="Arial" w:cs="Arial"/>
        <w:sz w:val="18"/>
        <w:szCs w:val="18"/>
      </w:rPr>
    </w:pPr>
    <w:r w:rsidRPr="001F42DF">
      <w:rPr>
        <w:rFonts w:ascii="Arial" w:hAnsi="Arial" w:cs="Arial"/>
        <w:sz w:val="18"/>
        <w:szCs w:val="18"/>
      </w:rPr>
      <w:t xml:space="preserve">+55 (11) 4380-6326 / +55 (11) 4677-7615 – </w:t>
    </w:r>
    <w:hyperlink r:id="rId1" w:history="1">
      <w:r w:rsidRPr="001F42DF">
        <w:rPr>
          <w:rStyle w:val="Hyperlink"/>
          <w:rFonts w:ascii="Arial" w:hAnsi="Arial" w:cs="Arial"/>
          <w:sz w:val="18"/>
          <w:szCs w:val="18"/>
        </w:rPr>
        <w:t>http://www.portalraizes.org.br</w:t>
      </w:r>
    </w:hyperlink>
    <w:r w:rsidRPr="001F42DF">
      <w:rPr>
        <w:rFonts w:ascii="Arial" w:hAnsi="Arial" w:cs="Arial"/>
        <w:sz w:val="18"/>
        <w:szCs w:val="18"/>
      </w:rPr>
      <w:t xml:space="preserve"> </w:t>
    </w:r>
    <w:r w:rsidR="005E7DA8">
      <w:rPr>
        <w:rFonts w:ascii="Arial" w:hAnsi="Arial" w:cs="Arial"/>
        <w:sz w:val="18"/>
        <w:szCs w:val="18"/>
      </w:rPr>
      <w:t>–</w:t>
    </w:r>
    <w:r w:rsidRPr="001F42DF">
      <w:rPr>
        <w:rFonts w:ascii="Arial" w:hAnsi="Arial" w:cs="Arial"/>
        <w:sz w:val="18"/>
        <w:szCs w:val="18"/>
      </w:rPr>
      <w:t xml:space="preserve"> </w:t>
    </w:r>
    <w:proofErr w:type="spellStart"/>
    <w:r w:rsidR="005E7DA8">
      <w:rPr>
        <w:rFonts w:ascii="Arial" w:hAnsi="Arial" w:cs="Arial"/>
        <w:sz w:val="18"/>
        <w:szCs w:val="18"/>
      </w:rPr>
      <w:t>coordenação_</w:t>
    </w:r>
    <w:r>
      <w:rPr>
        <w:rFonts w:ascii="Arial" w:hAnsi="Arial" w:cs="Arial"/>
        <w:sz w:val="18"/>
        <w:szCs w:val="18"/>
      </w:rPr>
      <w:t>bef</w:t>
    </w:r>
    <w:proofErr w:type="spellEnd"/>
    <w:r w:rsidRPr="001F42DF">
      <w:rPr>
        <w:rFonts w:ascii="Arial" w:hAnsi="Arial" w:cs="Arial"/>
        <w:sz w:val="18"/>
        <w:szCs w:val="18"/>
      </w:rPr>
      <w:t>@</w:t>
    </w:r>
    <w:r w:rsidRPr="001F42DF">
      <w:t xml:space="preserve"> </w:t>
    </w:r>
    <w:r w:rsidRPr="001F42DF">
      <w:rPr>
        <w:rFonts w:ascii="Arial" w:hAnsi="Arial" w:cs="Arial"/>
        <w:sz w:val="18"/>
        <w:szCs w:val="18"/>
      </w:rPr>
      <w:t>portalraizes.org.br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1AE" w:rsidRDefault="003671AE" w:rsidP="005627F0">
      <w:r>
        <w:separator/>
      </w:r>
    </w:p>
  </w:footnote>
  <w:footnote w:type="continuationSeparator" w:id="0">
    <w:p w:rsidR="003671AE" w:rsidRDefault="003671AE" w:rsidP="00562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DD5" w:rsidRDefault="00BC1DD5" w:rsidP="00BC1DD5">
    <w:pPr>
      <w:pStyle w:val="Cabealho"/>
      <w:tabs>
        <w:tab w:val="center" w:pos="4535"/>
        <w:tab w:val="left" w:pos="7454"/>
      </w:tabs>
      <w:jc w:val="right"/>
    </w:pPr>
    <w:r w:rsidRPr="00566890">
      <w:rPr>
        <w:noProof/>
        <w:lang w:eastAsia="pt-BR"/>
      </w:rPr>
      <w:drawing>
        <wp:inline distT="0" distB="0" distL="0" distR="0">
          <wp:extent cx="1260000" cy="537209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37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mic Sans MS" w:eastAsia="Comic Sans MS" w:hAnsi="Comic Sans MS" w:cs="Comic Sans MS"/>
        <w:b/>
        <w:color w:val="000080"/>
      </w:rPr>
      <w:t xml:space="preserve">                                </w:t>
    </w:r>
  </w:p>
  <w:p w:rsidR="005627F0" w:rsidRPr="00BC1DD5" w:rsidRDefault="005627F0" w:rsidP="00BC1D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44B084DA"/>
    <w:name w:val="WW8Num12"/>
    <w:lvl w:ilvl="0">
      <w:start w:val="1"/>
      <w:numFmt w:val="decimal"/>
      <w:pStyle w:val="EditalN1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-1984"/>
        </w:tabs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2">
    <w:nsid w:val="08C35522"/>
    <w:multiLevelType w:val="multilevel"/>
    <w:tmpl w:val="A10A64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1BBB1081"/>
    <w:multiLevelType w:val="multilevel"/>
    <w:tmpl w:val="96689BE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FDB5614"/>
    <w:multiLevelType w:val="multilevel"/>
    <w:tmpl w:val="15E66A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62751EB"/>
    <w:multiLevelType w:val="multilevel"/>
    <w:tmpl w:val="CF487A1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A9B2808"/>
    <w:multiLevelType w:val="multilevel"/>
    <w:tmpl w:val="F3EE9FF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5B77A9A"/>
    <w:multiLevelType w:val="multilevel"/>
    <w:tmpl w:val="A516B33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  <w:color w:val="auto"/>
      </w:rPr>
    </w:lvl>
    <w:lvl w:ilvl="2">
      <w:start w:val="1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DC024C"/>
    <w:multiLevelType w:val="multilevel"/>
    <w:tmpl w:val="89AE5414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4A376498"/>
    <w:multiLevelType w:val="multilevel"/>
    <w:tmpl w:val="B8F8B8F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8F156CB"/>
    <w:multiLevelType w:val="multilevel"/>
    <w:tmpl w:val="0C06A486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63E93308"/>
    <w:multiLevelType w:val="multilevel"/>
    <w:tmpl w:val="E78C692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E6857C2"/>
    <w:multiLevelType w:val="multilevel"/>
    <w:tmpl w:val="078AA7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8748D0"/>
    <w:multiLevelType w:val="multilevel"/>
    <w:tmpl w:val="16E6D92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A55639B"/>
    <w:multiLevelType w:val="multilevel"/>
    <w:tmpl w:val="DB3C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  <w:lvlOverride w:ilvl="0">
      <w:startOverride w:val="3"/>
    </w:lvlOverride>
  </w:num>
  <w:num w:numId="6">
    <w:abstractNumId w:val="5"/>
  </w:num>
  <w:num w:numId="7">
    <w:abstractNumId w:val="11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  <w:num w:numId="12">
    <w:abstractNumId w:val="8"/>
  </w:num>
  <w:num w:numId="13">
    <w:abstractNumId w:val="7"/>
  </w:num>
  <w:num w:numId="14">
    <w:abstractNumId w:val="0"/>
    <w:lvlOverride w:ilvl="0">
      <w:startOverride w:val="3"/>
    </w:lvlOverride>
  </w:num>
  <w:num w:numId="15">
    <w:abstractNumId w:val="2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F3"/>
    <w:rsid w:val="000636D3"/>
    <w:rsid w:val="0008591F"/>
    <w:rsid w:val="000965B8"/>
    <w:rsid w:val="000A790F"/>
    <w:rsid w:val="000B1859"/>
    <w:rsid w:val="000C3D28"/>
    <w:rsid w:val="000D5847"/>
    <w:rsid w:val="000E71E3"/>
    <w:rsid w:val="000F3118"/>
    <w:rsid w:val="00131BEA"/>
    <w:rsid w:val="00133C5F"/>
    <w:rsid w:val="001A2F26"/>
    <w:rsid w:val="001A4E37"/>
    <w:rsid w:val="001A599C"/>
    <w:rsid w:val="001B226E"/>
    <w:rsid w:val="001B35C3"/>
    <w:rsid w:val="001B5898"/>
    <w:rsid w:val="001D418A"/>
    <w:rsid w:val="001D5F76"/>
    <w:rsid w:val="001E772E"/>
    <w:rsid w:val="001F42DF"/>
    <w:rsid w:val="001F766C"/>
    <w:rsid w:val="00202B55"/>
    <w:rsid w:val="00206D10"/>
    <w:rsid w:val="00215B5E"/>
    <w:rsid w:val="002208F0"/>
    <w:rsid w:val="002935C1"/>
    <w:rsid w:val="002B0B8A"/>
    <w:rsid w:val="002B7FD9"/>
    <w:rsid w:val="002C3CBB"/>
    <w:rsid w:val="002E1369"/>
    <w:rsid w:val="003235F8"/>
    <w:rsid w:val="003374B5"/>
    <w:rsid w:val="003671AE"/>
    <w:rsid w:val="00382615"/>
    <w:rsid w:val="003B7296"/>
    <w:rsid w:val="003C6094"/>
    <w:rsid w:val="003D6682"/>
    <w:rsid w:val="003F4CB7"/>
    <w:rsid w:val="00404887"/>
    <w:rsid w:val="00427010"/>
    <w:rsid w:val="004407C6"/>
    <w:rsid w:val="00440B22"/>
    <w:rsid w:val="0045678F"/>
    <w:rsid w:val="00462307"/>
    <w:rsid w:val="00462FC0"/>
    <w:rsid w:val="00465BD9"/>
    <w:rsid w:val="004758F8"/>
    <w:rsid w:val="004850F0"/>
    <w:rsid w:val="00491115"/>
    <w:rsid w:val="00491D0F"/>
    <w:rsid w:val="00496AFF"/>
    <w:rsid w:val="004A05EB"/>
    <w:rsid w:val="004A69E8"/>
    <w:rsid w:val="004C0DC8"/>
    <w:rsid w:val="004F65B3"/>
    <w:rsid w:val="005077DB"/>
    <w:rsid w:val="005214F3"/>
    <w:rsid w:val="00527591"/>
    <w:rsid w:val="005418B2"/>
    <w:rsid w:val="005627F0"/>
    <w:rsid w:val="00581A86"/>
    <w:rsid w:val="005E7DA8"/>
    <w:rsid w:val="005F2520"/>
    <w:rsid w:val="005F6FB6"/>
    <w:rsid w:val="006160B2"/>
    <w:rsid w:val="006417E1"/>
    <w:rsid w:val="0065398A"/>
    <w:rsid w:val="00666728"/>
    <w:rsid w:val="00671DE8"/>
    <w:rsid w:val="00697D9A"/>
    <w:rsid w:val="006D1812"/>
    <w:rsid w:val="006D6A38"/>
    <w:rsid w:val="006E6E54"/>
    <w:rsid w:val="006F1B4A"/>
    <w:rsid w:val="006F6165"/>
    <w:rsid w:val="00700905"/>
    <w:rsid w:val="007315A1"/>
    <w:rsid w:val="00751E79"/>
    <w:rsid w:val="007605D2"/>
    <w:rsid w:val="007711FE"/>
    <w:rsid w:val="0077285B"/>
    <w:rsid w:val="00795428"/>
    <w:rsid w:val="00796BA8"/>
    <w:rsid w:val="007B01AE"/>
    <w:rsid w:val="007C7A25"/>
    <w:rsid w:val="007E1EF3"/>
    <w:rsid w:val="007E457B"/>
    <w:rsid w:val="007F0778"/>
    <w:rsid w:val="007F07B3"/>
    <w:rsid w:val="007F0B10"/>
    <w:rsid w:val="008379C2"/>
    <w:rsid w:val="00861EF1"/>
    <w:rsid w:val="00872ECC"/>
    <w:rsid w:val="00875EF1"/>
    <w:rsid w:val="008C2060"/>
    <w:rsid w:val="008D1012"/>
    <w:rsid w:val="008F7E76"/>
    <w:rsid w:val="0090002F"/>
    <w:rsid w:val="0091012B"/>
    <w:rsid w:val="00921223"/>
    <w:rsid w:val="00942D2E"/>
    <w:rsid w:val="00952E45"/>
    <w:rsid w:val="00960BD7"/>
    <w:rsid w:val="00985632"/>
    <w:rsid w:val="009A4C60"/>
    <w:rsid w:val="00A05185"/>
    <w:rsid w:val="00A43BDD"/>
    <w:rsid w:val="00A70A8E"/>
    <w:rsid w:val="00A828C0"/>
    <w:rsid w:val="00AB7442"/>
    <w:rsid w:val="00AC0E4A"/>
    <w:rsid w:val="00AC1C83"/>
    <w:rsid w:val="00AC2545"/>
    <w:rsid w:val="00AC3028"/>
    <w:rsid w:val="00AD2BC1"/>
    <w:rsid w:val="00AE3172"/>
    <w:rsid w:val="00AE401F"/>
    <w:rsid w:val="00B11EF4"/>
    <w:rsid w:val="00B53105"/>
    <w:rsid w:val="00B57261"/>
    <w:rsid w:val="00B6366C"/>
    <w:rsid w:val="00B72C5E"/>
    <w:rsid w:val="00B761EF"/>
    <w:rsid w:val="00B83F1F"/>
    <w:rsid w:val="00B866A7"/>
    <w:rsid w:val="00B90B94"/>
    <w:rsid w:val="00BB1553"/>
    <w:rsid w:val="00BC1DD5"/>
    <w:rsid w:val="00C10848"/>
    <w:rsid w:val="00C129D9"/>
    <w:rsid w:val="00C13798"/>
    <w:rsid w:val="00C355B7"/>
    <w:rsid w:val="00C37E01"/>
    <w:rsid w:val="00C44293"/>
    <w:rsid w:val="00C822F7"/>
    <w:rsid w:val="00C82ACF"/>
    <w:rsid w:val="00CA7E5F"/>
    <w:rsid w:val="00CD0B0F"/>
    <w:rsid w:val="00CD5FC4"/>
    <w:rsid w:val="00CE5C41"/>
    <w:rsid w:val="00D316CB"/>
    <w:rsid w:val="00D44D15"/>
    <w:rsid w:val="00D65C19"/>
    <w:rsid w:val="00D80FC8"/>
    <w:rsid w:val="00DA7D1C"/>
    <w:rsid w:val="00DB2B40"/>
    <w:rsid w:val="00DC36CE"/>
    <w:rsid w:val="00DC5635"/>
    <w:rsid w:val="00DD62C7"/>
    <w:rsid w:val="00E17D8A"/>
    <w:rsid w:val="00E553D5"/>
    <w:rsid w:val="00E56B1E"/>
    <w:rsid w:val="00E82F4F"/>
    <w:rsid w:val="00E921F2"/>
    <w:rsid w:val="00E95EF6"/>
    <w:rsid w:val="00EB50D2"/>
    <w:rsid w:val="00EC23F3"/>
    <w:rsid w:val="00EC7A61"/>
    <w:rsid w:val="00EF6E9C"/>
    <w:rsid w:val="00F15867"/>
    <w:rsid w:val="00F266E4"/>
    <w:rsid w:val="00F337A6"/>
    <w:rsid w:val="00F414F5"/>
    <w:rsid w:val="00F55451"/>
    <w:rsid w:val="00FB66B3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C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27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27F0"/>
  </w:style>
  <w:style w:type="paragraph" w:styleId="Rodap">
    <w:name w:val="footer"/>
    <w:basedOn w:val="Normal"/>
    <w:link w:val="RodapChar"/>
    <w:unhideWhenUsed/>
    <w:rsid w:val="005627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27F0"/>
  </w:style>
  <w:style w:type="paragraph" w:styleId="Textodebalo">
    <w:name w:val="Balloon Text"/>
    <w:basedOn w:val="Normal"/>
    <w:link w:val="TextodebaloChar"/>
    <w:uiPriority w:val="99"/>
    <w:semiHidden/>
    <w:unhideWhenUsed/>
    <w:rsid w:val="005627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7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935C1"/>
    <w:pPr>
      <w:widowControl/>
      <w:suppressAutoHyphens w:val="0"/>
      <w:spacing w:after="240" w:line="276" w:lineRule="auto"/>
      <w:ind w:left="708"/>
      <w:jc w:val="both"/>
    </w:pPr>
    <w:rPr>
      <w:rFonts w:eastAsia="Times New Roman"/>
      <w:sz w:val="20"/>
      <w:szCs w:val="20"/>
    </w:rPr>
  </w:style>
  <w:style w:type="paragraph" w:customStyle="1" w:styleId="EditalN1">
    <w:name w:val="Edital N1"/>
    <w:basedOn w:val="Normal"/>
    <w:qFormat/>
    <w:rsid w:val="002935C1"/>
    <w:pPr>
      <w:widowControl/>
      <w:numPr>
        <w:numId w:val="2"/>
      </w:numPr>
      <w:tabs>
        <w:tab w:val="left" w:pos="567"/>
      </w:tabs>
      <w:suppressAutoHyphens w:val="0"/>
      <w:spacing w:after="240" w:line="276" w:lineRule="auto"/>
      <w:jc w:val="both"/>
    </w:pPr>
    <w:rPr>
      <w:rFonts w:ascii="Arial" w:eastAsia="Times New Roman" w:hAnsi="Arial" w:cs="Arial"/>
    </w:rPr>
  </w:style>
  <w:style w:type="paragraph" w:customStyle="1" w:styleId="EditalN2">
    <w:name w:val="Edital N2"/>
    <w:basedOn w:val="Normal"/>
    <w:rsid w:val="002935C1"/>
    <w:pPr>
      <w:widowControl/>
      <w:suppressAutoHyphens w:val="0"/>
      <w:spacing w:after="240" w:line="276" w:lineRule="auto"/>
      <w:jc w:val="both"/>
    </w:pPr>
    <w:rPr>
      <w:rFonts w:eastAsia="Times New Roman"/>
    </w:rPr>
  </w:style>
  <w:style w:type="character" w:styleId="Hyperlink">
    <w:name w:val="Hyperlink"/>
    <w:basedOn w:val="Fontepargpadro"/>
    <w:uiPriority w:val="99"/>
    <w:unhideWhenUsed/>
    <w:rsid w:val="001F42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726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B57261"/>
    <w:rPr>
      <w:b/>
      <w:bCs/>
    </w:rPr>
  </w:style>
  <w:style w:type="table" w:styleId="Tabelacomgrade">
    <w:name w:val="Table Grid"/>
    <w:basedOn w:val="Tabelanormal"/>
    <w:uiPriority w:val="39"/>
    <w:rsid w:val="00B83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C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27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27F0"/>
  </w:style>
  <w:style w:type="paragraph" w:styleId="Rodap">
    <w:name w:val="footer"/>
    <w:basedOn w:val="Normal"/>
    <w:link w:val="RodapChar"/>
    <w:unhideWhenUsed/>
    <w:rsid w:val="005627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27F0"/>
  </w:style>
  <w:style w:type="paragraph" w:styleId="Textodebalo">
    <w:name w:val="Balloon Text"/>
    <w:basedOn w:val="Normal"/>
    <w:link w:val="TextodebaloChar"/>
    <w:uiPriority w:val="99"/>
    <w:semiHidden/>
    <w:unhideWhenUsed/>
    <w:rsid w:val="005627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7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935C1"/>
    <w:pPr>
      <w:widowControl/>
      <w:suppressAutoHyphens w:val="0"/>
      <w:spacing w:after="240" w:line="276" w:lineRule="auto"/>
      <w:ind w:left="708"/>
      <w:jc w:val="both"/>
    </w:pPr>
    <w:rPr>
      <w:rFonts w:eastAsia="Times New Roman"/>
      <w:sz w:val="20"/>
      <w:szCs w:val="20"/>
    </w:rPr>
  </w:style>
  <w:style w:type="paragraph" w:customStyle="1" w:styleId="EditalN1">
    <w:name w:val="Edital N1"/>
    <w:basedOn w:val="Normal"/>
    <w:qFormat/>
    <w:rsid w:val="002935C1"/>
    <w:pPr>
      <w:widowControl/>
      <w:numPr>
        <w:numId w:val="2"/>
      </w:numPr>
      <w:tabs>
        <w:tab w:val="left" w:pos="567"/>
      </w:tabs>
      <w:suppressAutoHyphens w:val="0"/>
      <w:spacing w:after="240" w:line="276" w:lineRule="auto"/>
      <w:jc w:val="both"/>
    </w:pPr>
    <w:rPr>
      <w:rFonts w:ascii="Arial" w:eastAsia="Times New Roman" w:hAnsi="Arial" w:cs="Arial"/>
    </w:rPr>
  </w:style>
  <w:style w:type="paragraph" w:customStyle="1" w:styleId="EditalN2">
    <w:name w:val="Edital N2"/>
    <w:basedOn w:val="Normal"/>
    <w:rsid w:val="002935C1"/>
    <w:pPr>
      <w:widowControl/>
      <w:suppressAutoHyphens w:val="0"/>
      <w:spacing w:after="240" w:line="276" w:lineRule="auto"/>
      <w:jc w:val="both"/>
    </w:pPr>
    <w:rPr>
      <w:rFonts w:eastAsia="Times New Roman"/>
    </w:rPr>
  </w:style>
  <w:style w:type="character" w:styleId="Hyperlink">
    <w:name w:val="Hyperlink"/>
    <w:basedOn w:val="Fontepargpadro"/>
    <w:uiPriority w:val="99"/>
    <w:unhideWhenUsed/>
    <w:rsid w:val="001F42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726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B57261"/>
    <w:rPr>
      <w:b/>
      <w:bCs/>
    </w:rPr>
  </w:style>
  <w:style w:type="table" w:styleId="Tabelacomgrade">
    <w:name w:val="Table Grid"/>
    <w:basedOn w:val="Tabelanormal"/>
    <w:uiPriority w:val="39"/>
    <w:rsid w:val="00B83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40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1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rtalraizes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5AF44-8D0A-494F-B1BF-199ED563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Dejane Arruda de Corei Zambri</dc:creator>
  <cp:lastModifiedBy>coord</cp:lastModifiedBy>
  <cp:revision>2</cp:revision>
  <cp:lastPrinted>2020-05-28T17:14:00Z</cp:lastPrinted>
  <dcterms:created xsi:type="dcterms:W3CDTF">2020-11-27T13:29:00Z</dcterms:created>
  <dcterms:modified xsi:type="dcterms:W3CDTF">2020-11-27T13:29:00Z</dcterms:modified>
</cp:coreProperties>
</file>